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jc w:val="left"/>
        <w:rPr>
          <w:rFonts w:hint="eastAsia" w:eastAsia="仿宋_GB2312"/>
          <w:sz w:val="32"/>
          <w:szCs w:val="32"/>
          <w:lang w:val="en-US" w:eastAsia="zh-CN"/>
        </w:rPr>
      </w:pPr>
      <w:r>
        <w:rPr>
          <w:rFonts w:hint="eastAsia" w:eastAsia="仿宋_GB2312"/>
          <w:sz w:val="32"/>
          <w:szCs w:val="32"/>
          <w:lang w:val="en-US" w:eastAsia="zh-CN"/>
        </w:rPr>
        <w:t>附件2</w:t>
      </w:r>
    </w:p>
    <w:p>
      <w:pPr>
        <w:spacing w:after="312" w:afterLines="100" w:line="560" w:lineRule="exact"/>
        <w:jc w:val="center"/>
        <w:rPr>
          <w:rFonts w:ascii="宋体" w:hAnsi="宋体"/>
          <w:szCs w:val="21"/>
        </w:rPr>
      </w:pPr>
      <w:r>
        <w:rPr>
          <w:rFonts w:hint="eastAsia" w:ascii="宋体" w:hAnsi="宋体" w:cs="宋体"/>
          <w:b/>
          <w:sz w:val="44"/>
          <w:szCs w:val="44"/>
        </w:rPr>
        <w:t>南京体育学院大学生单项奖学金评定办法</w:t>
      </w:r>
    </w:p>
    <w:p>
      <w:pPr>
        <w:spacing w:line="56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为了进一步完善学生激励机制，满足学生多样化、个性化的发展需要，调动学生学习的积极性和主动性，促进学生全面发展，不断提高办学水平和人才培养质量。根据《中华人民共和国高等教育法》《普通高等学校学生管理规定》和《南京体育学院本科生奖学金评定办法（试行）》，结合我校实际，制定本办法。</w:t>
      </w:r>
    </w:p>
    <w:p>
      <w:pPr>
        <w:numPr>
          <w:ilvl w:val="0"/>
          <w:numId w:val="1"/>
        </w:numPr>
        <w:spacing w:line="560" w:lineRule="exact"/>
        <w:ind w:firstLine="641" w:firstLineChars="200"/>
        <w:rPr>
          <w:rFonts w:hint="eastAsia" w:ascii="黑体" w:hAnsi="黑体" w:eastAsia="黑体" w:cs="黑体"/>
          <w:b/>
          <w:bCs/>
          <w:sz w:val="32"/>
          <w:szCs w:val="32"/>
        </w:rPr>
      </w:pPr>
      <w:r>
        <w:rPr>
          <w:rFonts w:hint="eastAsia" w:ascii="黑体" w:hAnsi="黑体" w:eastAsia="黑体" w:cs="黑体"/>
          <w:b/>
          <w:bCs/>
          <w:sz w:val="32"/>
          <w:szCs w:val="32"/>
        </w:rPr>
        <w:t>单项奖学金评定类别</w:t>
      </w:r>
    </w:p>
    <w:p>
      <w:pPr>
        <w:widowControl/>
        <w:spacing w:line="560" w:lineRule="exact"/>
        <w:ind w:firstLine="560" w:firstLineChars="200"/>
        <w:jc w:val="left"/>
        <w:rPr>
          <w:rFonts w:hint="eastAsia" w:ascii="仿宋" w:hAnsi="仿宋" w:eastAsia="仿宋" w:cs="仿宋"/>
          <w:sz w:val="32"/>
          <w:szCs w:val="32"/>
        </w:rPr>
      </w:pPr>
      <w:r>
        <w:rPr>
          <w:rFonts w:hint="eastAsia" w:ascii="仿宋" w:hAnsi="仿宋" w:eastAsia="仿宋" w:cs="仿宋"/>
          <w:sz w:val="28"/>
          <w:szCs w:val="28"/>
        </w:rPr>
        <w:t>单项奖学金对应学校大学生素质综合测评体系，设“思想品德与道德素养”、“社会服务与实践活动”、“科学研究与创新能力”、“文化艺术与身心发展”、“技能培训与文体竞赛”以及“优秀学生干部”六个类别。</w:t>
      </w:r>
    </w:p>
    <w:p>
      <w:pPr>
        <w:widowControl/>
        <w:spacing w:line="560" w:lineRule="exact"/>
        <w:ind w:firstLine="640" w:firstLineChars="200"/>
        <w:jc w:val="left"/>
        <w:rPr>
          <w:rFonts w:hint="eastAsia" w:ascii="楷体" w:hAnsi="楷体" w:eastAsia="楷体" w:cs="楷体"/>
          <w:sz w:val="32"/>
          <w:szCs w:val="32"/>
        </w:rPr>
      </w:pPr>
      <w:r>
        <w:rPr>
          <w:rFonts w:hint="eastAsia" w:ascii="楷体" w:hAnsi="楷体" w:eastAsia="楷体" w:cs="楷体"/>
          <w:sz w:val="32"/>
          <w:szCs w:val="32"/>
        </w:rPr>
        <w:t>（一）思想品德与道德素养</w:t>
      </w:r>
    </w:p>
    <w:p>
      <w:pPr>
        <w:widowControl/>
        <w:spacing w:line="560" w:lineRule="exact"/>
        <w:ind w:firstLine="560" w:firstLineChars="200"/>
        <w:jc w:val="left"/>
        <w:rPr>
          <w:rFonts w:hint="eastAsia" w:ascii="仿宋" w:hAnsi="仿宋" w:eastAsia="仿宋" w:cs="仿宋"/>
          <w:sz w:val="28"/>
          <w:szCs w:val="28"/>
        </w:rPr>
      </w:pPr>
      <w:r>
        <w:rPr>
          <w:rFonts w:hint="eastAsia" w:ascii="仿宋" w:hAnsi="仿宋" w:eastAsia="仿宋" w:cs="仿宋"/>
          <w:sz w:val="28"/>
          <w:szCs w:val="28"/>
        </w:rPr>
        <w:t>用于奖励在社会主义精神文明建设中表现突出者，在本校、本地区产生重大影响，在全国产生较大影响，有助于树立良好的社会风尚。（有地、市级媒体宣传的证明、有学校所在地或原户籍所在地有关政府部门的表彰文件）</w:t>
      </w:r>
    </w:p>
    <w:p>
      <w:pPr>
        <w:widowControl/>
        <w:spacing w:line="560" w:lineRule="exact"/>
        <w:ind w:firstLine="560" w:firstLineChars="200"/>
        <w:jc w:val="left"/>
        <w:rPr>
          <w:rFonts w:hint="eastAsia" w:ascii="仿宋" w:hAnsi="仿宋" w:eastAsia="仿宋" w:cs="仿宋"/>
          <w:sz w:val="28"/>
          <w:szCs w:val="28"/>
        </w:rPr>
      </w:pPr>
      <w:r>
        <w:rPr>
          <w:rFonts w:hint="eastAsia" w:ascii="仿宋" w:hAnsi="仿宋" w:eastAsia="仿宋" w:cs="仿宋"/>
          <w:sz w:val="28"/>
          <w:szCs w:val="28"/>
        </w:rPr>
        <w:t>1.在奉献爱心、志愿服务、自立自强，促进精神文明建设等方面有突出表现者。</w:t>
      </w:r>
    </w:p>
    <w:p>
      <w:pPr>
        <w:widowControl/>
        <w:spacing w:line="560" w:lineRule="exact"/>
        <w:ind w:firstLine="560" w:firstLineChars="200"/>
        <w:jc w:val="left"/>
        <w:rPr>
          <w:rFonts w:hint="eastAsia" w:ascii="仿宋" w:hAnsi="仿宋" w:eastAsia="仿宋" w:cs="仿宋"/>
          <w:sz w:val="28"/>
          <w:szCs w:val="28"/>
        </w:rPr>
      </w:pPr>
      <w:r>
        <w:rPr>
          <w:rFonts w:hint="eastAsia" w:ascii="仿宋" w:hAnsi="仿宋" w:eastAsia="仿宋" w:cs="仿宋"/>
          <w:sz w:val="28"/>
          <w:szCs w:val="28"/>
        </w:rPr>
        <w:t>2.有助人为乐、拾金不昧、舍己救人或见义勇为等突出事迹者。</w:t>
      </w:r>
    </w:p>
    <w:p>
      <w:pPr>
        <w:widowControl/>
        <w:spacing w:line="560" w:lineRule="exact"/>
        <w:ind w:firstLine="560" w:firstLineChars="200"/>
        <w:jc w:val="left"/>
        <w:rPr>
          <w:rFonts w:hint="eastAsia" w:ascii="仿宋" w:hAnsi="仿宋" w:eastAsia="仿宋" w:cs="仿宋"/>
          <w:sz w:val="32"/>
          <w:szCs w:val="32"/>
        </w:rPr>
        <w:sectPr>
          <w:footerReference r:id="rId3" w:type="default"/>
          <w:pgSz w:w="11906" w:h="16838"/>
          <w:pgMar w:top="1418" w:right="1418" w:bottom="1418" w:left="1418" w:header="851" w:footer="992" w:gutter="0"/>
          <w:cols w:space="720" w:num="1"/>
          <w:docGrid w:type="lines" w:linePitch="312" w:charSpace="0"/>
        </w:sectPr>
      </w:pPr>
      <w:r>
        <w:rPr>
          <w:rFonts w:hint="eastAsia" w:ascii="仿宋" w:hAnsi="仿宋" w:eastAsia="仿宋" w:cs="仿宋"/>
          <w:sz w:val="28"/>
          <w:szCs w:val="28"/>
        </w:rPr>
        <w:t>3.维护校风校纪，创建和谐校园。在校园文明建设中有突出贡献，取得显著成绩者。</w:t>
      </w:r>
    </w:p>
    <w:p>
      <w:pPr>
        <w:widowControl/>
        <w:spacing w:line="560" w:lineRule="exact"/>
        <w:ind w:firstLine="640" w:firstLineChars="200"/>
        <w:jc w:val="left"/>
        <w:rPr>
          <w:rFonts w:hint="eastAsia" w:ascii="楷体" w:hAnsi="楷体" w:eastAsia="楷体" w:cs="楷体"/>
          <w:sz w:val="32"/>
          <w:szCs w:val="32"/>
        </w:rPr>
      </w:pPr>
      <w:r>
        <w:rPr>
          <w:rFonts w:hint="eastAsia" w:ascii="楷体" w:hAnsi="楷体" w:eastAsia="楷体" w:cs="楷体"/>
          <w:sz w:val="32"/>
          <w:szCs w:val="32"/>
        </w:rPr>
        <w:t>（二）社会服务与实践活动</w:t>
      </w:r>
    </w:p>
    <w:p>
      <w:pPr>
        <w:widowControl/>
        <w:spacing w:line="560" w:lineRule="exact"/>
        <w:ind w:firstLine="560" w:firstLineChars="200"/>
        <w:jc w:val="left"/>
        <w:rPr>
          <w:rFonts w:hint="eastAsia" w:ascii="仿宋" w:hAnsi="仿宋" w:eastAsia="仿宋" w:cs="仿宋"/>
          <w:sz w:val="28"/>
          <w:szCs w:val="28"/>
        </w:rPr>
      </w:pPr>
      <w:r>
        <w:rPr>
          <w:rFonts w:hint="eastAsia" w:ascii="仿宋" w:hAnsi="仿宋" w:eastAsia="仿宋" w:cs="仿宋"/>
          <w:sz w:val="28"/>
          <w:szCs w:val="28"/>
        </w:rPr>
        <w:t xml:space="preserve">用于奖励在各类组织中能全心全意为学生服务，在组织建设、工作开展中能起骨干带头作用且工作成绩显著者。  </w:t>
      </w:r>
    </w:p>
    <w:p>
      <w:pPr>
        <w:widowControl/>
        <w:spacing w:line="560" w:lineRule="exact"/>
        <w:ind w:firstLine="560" w:firstLineChars="200"/>
        <w:jc w:val="left"/>
        <w:rPr>
          <w:rFonts w:hint="eastAsia" w:ascii="仿宋" w:hAnsi="仿宋" w:eastAsia="仿宋" w:cs="仿宋"/>
          <w:sz w:val="28"/>
          <w:szCs w:val="28"/>
        </w:rPr>
      </w:pPr>
      <w:r>
        <w:rPr>
          <w:rFonts w:hint="eastAsia" w:ascii="仿宋" w:hAnsi="仿宋" w:eastAsia="仿宋" w:cs="仿宋"/>
          <w:sz w:val="28"/>
          <w:szCs w:val="28"/>
        </w:rPr>
        <w:t>1.积极参加社会实践并发挥重要作用，个人或担任负责人的实践团队获得校级以上（不含校级）社会实践奖励的。</w:t>
      </w:r>
    </w:p>
    <w:p>
      <w:pPr>
        <w:widowControl/>
        <w:spacing w:line="560" w:lineRule="exact"/>
        <w:ind w:firstLine="560" w:firstLineChars="200"/>
        <w:jc w:val="left"/>
        <w:rPr>
          <w:rFonts w:hint="eastAsia" w:ascii="仿宋" w:hAnsi="仿宋" w:eastAsia="仿宋" w:cs="仿宋"/>
          <w:sz w:val="28"/>
          <w:szCs w:val="28"/>
        </w:rPr>
      </w:pPr>
      <w:r>
        <w:rPr>
          <w:rFonts w:hint="eastAsia" w:ascii="仿宋" w:hAnsi="仿宋" w:eastAsia="仿宋" w:cs="仿宋"/>
          <w:sz w:val="28"/>
          <w:szCs w:val="28"/>
        </w:rPr>
        <w:t>2.在社会实践中成果突出，所撰写的调查报告获得校级以上（不含校级）奖励，或公开发表，或被政府部门、企事业单位采纳的。</w:t>
      </w:r>
    </w:p>
    <w:p>
      <w:pPr>
        <w:widowControl/>
        <w:spacing w:line="560" w:lineRule="exact"/>
        <w:ind w:firstLine="640" w:firstLineChars="200"/>
        <w:jc w:val="left"/>
        <w:rPr>
          <w:rFonts w:ascii="楷体" w:hAnsi="楷体" w:eastAsia="楷体" w:cs="楷体"/>
          <w:sz w:val="32"/>
          <w:szCs w:val="32"/>
        </w:rPr>
      </w:pPr>
      <w:r>
        <w:rPr>
          <w:rFonts w:hint="eastAsia" w:ascii="楷体" w:hAnsi="楷体" w:eastAsia="楷体" w:cs="楷体"/>
          <w:sz w:val="32"/>
          <w:szCs w:val="32"/>
        </w:rPr>
        <w:t>（三）科学研究与创新能力</w:t>
      </w:r>
    </w:p>
    <w:p>
      <w:pPr>
        <w:widowControl/>
        <w:spacing w:line="560" w:lineRule="exact"/>
        <w:ind w:firstLine="560" w:firstLineChars="200"/>
        <w:jc w:val="left"/>
        <w:rPr>
          <w:rFonts w:ascii="仿宋" w:hAnsi="仿宋" w:eastAsia="仿宋" w:cs="仿宋"/>
          <w:sz w:val="28"/>
          <w:szCs w:val="28"/>
        </w:rPr>
      </w:pPr>
      <w:r>
        <w:rPr>
          <w:rFonts w:ascii="仿宋" w:hAnsi="仿宋" w:eastAsia="仿宋" w:cs="仿宋"/>
          <w:sz w:val="28"/>
          <w:szCs w:val="28"/>
        </w:rPr>
        <w:t>用于奖励在创新发明、学术研究、学科竞赛等各类科技创新方面中取得突出成绩者。</w:t>
      </w:r>
    </w:p>
    <w:p>
      <w:pPr>
        <w:widowControl/>
        <w:spacing w:line="560" w:lineRule="exact"/>
        <w:ind w:firstLine="560" w:firstLineChars="200"/>
        <w:jc w:val="left"/>
        <w:rPr>
          <w:rFonts w:ascii="仿宋" w:hAnsi="仿宋" w:eastAsia="仿宋" w:cs="仿宋"/>
          <w:sz w:val="28"/>
          <w:szCs w:val="28"/>
        </w:rPr>
      </w:pPr>
      <w:r>
        <w:rPr>
          <w:rFonts w:hint="eastAsia" w:ascii="仿宋" w:hAnsi="仿宋" w:eastAsia="仿宋" w:cs="仿宋"/>
          <w:sz w:val="28"/>
          <w:szCs w:val="28"/>
        </w:rPr>
        <w:t>1.</w:t>
      </w:r>
      <w:r>
        <w:rPr>
          <w:rFonts w:ascii="仿宋" w:hAnsi="仿宋" w:eastAsia="仿宋" w:cs="仿宋"/>
          <w:sz w:val="28"/>
          <w:szCs w:val="28"/>
        </w:rPr>
        <w:t>在学术研究上取得显著成绩，以第一作者发表的论文被SCI、EI、ISTP、SSCI全文收录，以第一、二作者出版学术专著</w:t>
      </w:r>
      <w:r>
        <w:rPr>
          <w:rFonts w:hint="eastAsia" w:ascii="仿宋" w:hAnsi="仿宋" w:eastAsia="仿宋" w:cs="仿宋"/>
          <w:sz w:val="28"/>
          <w:szCs w:val="28"/>
        </w:rPr>
        <w:t>。</w:t>
      </w:r>
    </w:p>
    <w:p>
      <w:pPr>
        <w:widowControl/>
        <w:spacing w:line="560" w:lineRule="exact"/>
        <w:ind w:firstLine="560" w:firstLineChars="200"/>
        <w:jc w:val="left"/>
        <w:rPr>
          <w:rFonts w:ascii="仿宋" w:hAnsi="仿宋" w:eastAsia="仿宋" w:cs="仿宋"/>
          <w:sz w:val="28"/>
          <w:szCs w:val="28"/>
        </w:rPr>
      </w:pPr>
      <w:r>
        <w:rPr>
          <w:rFonts w:hint="eastAsia" w:ascii="仿宋" w:hAnsi="仿宋" w:eastAsia="仿宋" w:cs="仿宋"/>
          <w:sz w:val="28"/>
          <w:szCs w:val="28"/>
        </w:rPr>
        <w:t>2.</w:t>
      </w:r>
      <w:r>
        <w:rPr>
          <w:rFonts w:ascii="仿宋" w:hAnsi="仿宋" w:eastAsia="仿宋" w:cs="仿宋"/>
          <w:sz w:val="28"/>
          <w:szCs w:val="28"/>
        </w:rPr>
        <w:t>市级以上政府部门、科协、教育部各学科教育指导委员会、学会、行业协会等组织的正式创新创业类竞赛中获得名次者</w:t>
      </w:r>
      <w:r>
        <w:rPr>
          <w:rFonts w:hint="eastAsia" w:ascii="仿宋" w:hAnsi="仿宋" w:eastAsia="仿宋" w:cs="仿宋"/>
          <w:sz w:val="28"/>
          <w:szCs w:val="28"/>
        </w:rPr>
        <w:t>。</w:t>
      </w:r>
    </w:p>
    <w:p>
      <w:pPr>
        <w:widowControl/>
        <w:spacing w:line="560" w:lineRule="exact"/>
        <w:ind w:firstLine="560" w:firstLineChars="200"/>
        <w:jc w:val="left"/>
        <w:rPr>
          <w:rFonts w:ascii="仿宋" w:hAnsi="仿宋" w:eastAsia="仿宋" w:cs="仿宋"/>
          <w:sz w:val="32"/>
          <w:szCs w:val="32"/>
        </w:rPr>
      </w:pPr>
      <w:r>
        <w:rPr>
          <w:rFonts w:hint="eastAsia" w:ascii="仿宋" w:hAnsi="仿宋" w:eastAsia="仿宋" w:cs="仿宋"/>
          <w:sz w:val="28"/>
          <w:szCs w:val="28"/>
        </w:rPr>
        <w:t>3.</w:t>
      </w:r>
      <w:r>
        <w:rPr>
          <w:rFonts w:ascii="仿宋" w:hAnsi="仿宋" w:eastAsia="仿宋" w:cs="仿宋"/>
          <w:sz w:val="28"/>
          <w:szCs w:val="28"/>
        </w:rPr>
        <w:t>取得发明专利者；取得实用新型、外观设计专利者（仅限第一发明人）；取得科技创造发明成果者，根据成果的鉴定结论和社会经济效益</w:t>
      </w:r>
      <w:r>
        <w:rPr>
          <w:rFonts w:hint="eastAsia" w:ascii="仿宋" w:hAnsi="仿宋" w:eastAsia="仿宋" w:cs="仿宋"/>
          <w:sz w:val="28"/>
          <w:szCs w:val="28"/>
        </w:rPr>
        <w:t>。</w:t>
      </w:r>
    </w:p>
    <w:p>
      <w:pPr>
        <w:widowControl/>
        <w:spacing w:line="560" w:lineRule="exact"/>
        <w:ind w:firstLine="640" w:firstLineChars="200"/>
        <w:jc w:val="left"/>
        <w:rPr>
          <w:rFonts w:hint="eastAsia" w:ascii="楷体" w:hAnsi="楷体" w:eastAsia="楷体" w:cs="楷体"/>
          <w:sz w:val="32"/>
          <w:szCs w:val="32"/>
        </w:rPr>
      </w:pPr>
      <w:r>
        <w:rPr>
          <w:rFonts w:hint="eastAsia" w:ascii="楷体" w:hAnsi="楷体" w:eastAsia="楷体" w:cs="楷体"/>
          <w:sz w:val="32"/>
          <w:szCs w:val="32"/>
        </w:rPr>
        <w:t>（四）文化艺术与身心发展</w:t>
      </w:r>
    </w:p>
    <w:p>
      <w:pPr>
        <w:spacing w:line="560" w:lineRule="exact"/>
        <w:ind w:firstLine="560" w:firstLineChars="200"/>
        <w:rPr>
          <w:rFonts w:ascii="仿宋" w:hAnsi="仿宋" w:eastAsia="仿宋" w:cs="仿宋"/>
          <w:sz w:val="28"/>
          <w:szCs w:val="28"/>
        </w:rPr>
      </w:pPr>
      <w:r>
        <w:rPr>
          <w:rFonts w:hint="eastAsia" w:ascii="仿宋" w:hAnsi="仿宋" w:eastAsia="仿宋" w:cs="仿宋"/>
          <w:sz w:val="28"/>
          <w:szCs w:val="28"/>
        </w:rPr>
        <w:t>用于奖励</w:t>
      </w:r>
      <w:r>
        <w:rPr>
          <w:rFonts w:ascii="仿宋" w:hAnsi="仿宋" w:eastAsia="仿宋" w:cs="仿宋"/>
          <w:sz w:val="28"/>
          <w:szCs w:val="28"/>
        </w:rPr>
        <w:t>积极参加各项文艺表演活动，表现优秀</w:t>
      </w:r>
      <w:r>
        <w:rPr>
          <w:rFonts w:hint="eastAsia" w:ascii="仿宋" w:hAnsi="仿宋" w:eastAsia="仿宋" w:cs="仿宋"/>
          <w:sz w:val="28"/>
          <w:szCs w:val="28"/>
        </w:rPr>
        <w:t>者。同一类别的奖励和荣誉按最高的一项申报，不同类别可以兼报。（若所参加的比赛或活动中，所有参加成员都能够获奖时，获得的最低级别的奖项不在其列；商业比赛或活动不在其列；鼓励奖不在其列）</w:t>
      </w:r>
    </w:p>
    <w:p>
      <w:pPr>
        <w:widowControl/>
        <w:spacing w:line="560" w:lineRule="exact"/>
        <w:ind w:firstLine="640" w:firstLineChars="200"/>
        <w:jc w:val="left"/>
        <w:rPr>
          <w:rFonts w:hint="eastAsia" w:ascii="楷体" w:hAnsi="楷体" w:eastAsia="楷体" w:cs="楷体"/>
          <w:sz w:val="32"/>
          <w:szCs w:val="32"/>
        </w:rPr>
      </w:pPr>
      <w:r>
        <w:rPr>
          <w:rFonts w:hint="eastAsia" w:ascii="楷体" w:hAnsi="楷体" w:eastAsia="楷体" w:cs="楷体"/>
          <w:sz w:val="32"/>
          <w:szCs w:val="32"/>
        </w:rPr>
        <w:t>（五）技能培训与文体竞赛</w:t>
      </w:r>
    </w:p>
    <w:p>
      <w:pPr>
        <w:widowControl/>
        <w:spacing w:line="560" w:lineRule="exact"/>
        <w:ind w:firstLine="560" w:firstLineChars="200"/>
        <w:jc w:val="left"/>
        <w:rPr>
          <w:rFonts w:ascii="仿宋" w:hAnsi="仿宋" w:eastAsia="仿宋" w:cs="仿宋"/>
          <w:sz w:val="28"/>
          <w:szCs w:val="28"/>
        </w:rPr>
      </w:pPr>
      <w:r>
        <w:rPr>
          <w:rFonts w:ascii="仿宋" w:hAnsi="仿宋" w:eastAsia="仿宋" w:cs="仿宋"/>
          <w:sz w:val="28"/>
          <w:szCs w:val="28"/>
        </w:rPr>
        <w:t>用于奖励在</w:t>
      </w:r>
      <w:r>
        <w:rPr>
          <w:rFonts w:hint="eastAsia" w:ascii="仿宋" w:hAnsi="仿宋" w:eastAsia="仿宋" w:cs="仿宋"/>
          <w:sz w:val="28"/>
          <w:szCs w:val="28"/>
        </w:rPr>
        <w:t>与专业技能相关的</w:t>
      </w:r>
      <w:r>
        <w:rPr>
          <w:rFonts w:ascii="仿宋" w:hAnsi="仿宋" w:eastAsia="仿宋" w:cs="仿宋"/>
          <w:sz w:val="28"/>
          <w:szCs w:val="28"/>
        </w:rPr>
        <w:t>各类体育比赛、文艺比赛或文学、美术、书法、摄影、群众体育活动等文化体育实践中取得优异成绩或做出突出贡献者。</w:t>
      </w:r>
      <w:r>
        <w:rPr>
          <w:rFonts w:hint="eastAsia" w:ascii="仿宋" w:hAnsi="仿宋" w:eastAsia="仿宋" w:cs="仿宋"/>
          <w:sz w:val="28"/>
          <w:szCs w:val="28"/>
        </w:rPr>
        <w:t>同一类别的奖励和荣誉按最高的一项申报，不同类别可以兼报。（若所参加的比赛或活动中，所有参加成员都能够获奖时，获得的最低级别的奖项不在其列；商业比赛或活动不在其列；鼓励奖不在其列）</w:t>
      </w:r>
    </w:p>
    <w:p>
      <w:pPr>
        <w:widowControl/>
        <w:spacing w:line="560" w:lineRule="exact"/>
        <w:ind w:firstLine="560" w:firstLineChars="200"/>
        <w:jc w:val="left"/>
        <w:rPr>
          <w:rFonts w:hint="eastAsia" w:ascii="仿宋" w:hAnsi="仿宋" w:eastAsia="仿宋" w:cs="仿宋"/>
          <w:sz w:val="28"/>
          <w:szCs w:val="28"/>
        </w:rPr>
      </w:pPr>
      <w:r>
        <w:rPr>
          <w:rFonts w:hint="eastAsia" w:ascii="仿宋" w:hAnsi="仿宋" w:eastAsia="仿宋" w:cs="仿宋"/>
          <w:sz w:val="28"/>
          <w:szCs w:val="28"/>
        </w:rPr>
        <w:t>1.参加市级（及以上）组织的技能大赛并获得该项目一、二、三等奖者；若参加同项目不同级别比赛均获奖者，按最高级奖项奖励。</w:t>
      </w:r>
    </w:p>
    <w:p>
      <w:pPr>
        <w:widowControl/>
        <w:spacing w:line="560" w:lineRule="exact"/>
        <w:ind w:firstLine="560" w:firstLineChars="200"/>
        <w:jc w:val="left"/>
        <w:rPr>
          <w:rFonts w:hint="eastAsia" w:ascii="仿宋" w:hAnsi="仿宋" w:eastAsia="仿宋" w:cs="仿宋"/>
          <w:sz w:val="32"/>
          <w:szCs w:val="32"/>
        </w:rPr>
      </w:pPr>
      <w:r>
        <w:rPr>
          <w:rFonts w:hint="eastAsia" w:ascii="仿宋" w:hAnsi="仿宋" w:eastAsia="仿宋" w:cs="仿宋"/>
          <w:sz w:val="28"/>
          <w:szCs w:val="28"/>
        </w:rPr>
        <w:t>2.在市级（及以上）体育竞赛以及文艺比赛中取得显著成绩。</w:t>
      </w:r>
    </w:p>
    <w:p>
      <w:pPr>
        <w:widowControl/>
        <w:spacing w:line="560" w:lineRule="exact"/>
        <w:ind w:firstLine="640" w:firstLineChars="200"/>
        <w:jc w:val="left"/>
        <w:rPr>
          <w:rFonts w:hint="eastAsia" w:ascii="楷体" w:hAnsi="楷体" w:eastAsia="楷体" w:cs="楷体"/>
          <w:sz w:val="32"/>
          <w:szCs w:val="32"/>
        </w:rPr>
      </w:pPr>
      <w:r>
        <w:rPr>
          <w:rFonts w:hint="eastAsia" w:ascii="楷体" w:hAnsi="楷体" w:eastAsia="楷体" w:cs="楷体"/>
          <w:sz w:val="32"/>
          <w:szCs w:val="32"/>
        </w:rPr>
        <w:t>（六）优秀学生干部</w:t>
      </w:r>
    </w:p>
    <w:p>
      <w:pPr>
        <w:spacing w:line="56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奖励校、院、班级各类优秀团学干部。</w:t>
      </w:r>
    </w:p>
    <w:p>
      <w:pPr>
        <w:widowControl/>
        <w:spacing w:line="560" w:lineRule="exact"/>
        <w:ind w:firstLine="560" w:firstLineChars="200"/>
        <w:jc w:val="left"/>
        <w:rPr>
          <w:rFonts w:hint="eastAsia" w:ascii="仿宋" w:hAnsi="仿宋" w:eastAsia="仿宋" w:cs="仿宋"/>
          <w:sz w:val="28"/>
          <w:szCs w:val="28"/>
        </w:rPr>
      </w:pPr>
      <w:r>
        <w:rPr>
          <w:rFonts w:hint="eastAsia" w:ascii="仿宋" w:hAnsi="仿宋" w:eastAsia="仿宋" w:cs="仿宋"/>
          <w:sz w:val="28"/>
          <w:szCs w:val="28"/>
        </w:rPr>
        <w:t>1.自觉践行社会主义核心价值观，政治方向坚定，具有优良的道德品质。遵纪守法，模范遵守社会公德和学校各项规章制度。</w:t>
      </w:r>
    </w:p>
    <w:p>
      <w:pPr>
        <w:spacing w:line="560" w:lineRule="exact"/>
        <w:ind w:firstLine="560" w:firstLineChars="200"/>
        <w:rPr>
          <w:rFonts w:hint="eastAsia" w:ascii="仿宋" w:hAnsi="仿宋" w:eastAsia="仿宋" w:cs="仿宋"/>
          <w:sz w:val="32"/>
          <w:szCs w:val="32"/>
        </w:rPr>
      </w:pPr>
      <w:r>
        <w:rPr>
          <w:rFonts w:hint="eastAsia" w:ascii="仿宋" w:hAnsi="仿宋" w:eastAsia="仿宋" w:cs="仿宋"/>
          <w:sz w:val="28"/>
          <w:szCs w:val="28"/>
        </w:rPr>
        <w:t>2.热心社会工作，热情为同学服务。严于律已，努力工作。在同学中具有较高威信。</w:t>
      </w:r>
    </w:p>
    <w:p>
      <w:pPr>
        <w:spacing w:line="560" w:lineRule="exact"/>
        <w:ind w:firstLine="641" w:firstLineChars="200"/>
        <w:rPr>
          <w:rFonts w:hint="eastAsia" w:ascii="黑体" w:hAnsi="黑体" w:eastAsia="黑体" w:cs="黑体"/>
          <w:sz w:val="32"/>
          <w:szCs w:val="32"/>
        </w:rPr>
      </w:pPr>
      <w:r>
        <w:rPr>
          <w:rFonts w:hint="eastAsia" w:ascii="黑体" w:hAnsi="黑体" w:eastAsia="黑体" w:cs="黑体"/>
          <w:b/>
          <w:bCs/>
          <w:sz w:val="32"/>
          <w:szCs w:val="32"/>
        </w:rPr>
        <w:t>二、单项奖学金评定范围</w:t>
      </w:r>
    </w:p>
    <w:p>
      <w:pPr>
        <w:spacing w:line="560" w:lineRule="exact"/>
        <w:ind w:firstLine="560" w:firstLineChars="200"/>
        <w:rPr>
          <w:rFonts w:hint="eastAsia" w:ascii="仿宋" w:hAnsi="仿宋" w:eastAsia="仿宋" w:cs="仿宋"/>
          <w:sz w:val="32"/>
          <w:szCs w:val="32"/>
        </w:rPr>
      </w:pPr>
      <w:r>
        <w:rPr>
          <w:rFonts w:hint="eastAsia" w:ascii="仿宋" w:hAnsi="仿宋" w:eastAsia="仿宋" w:cs="仿宋"/>
          <w:sz w:val="28"/>
          <w:szCs w:val="28"/>
        </w:rPr>
        <w:t>本办法适用于我校在籍全日制本科学生。</w:t>
      </w:r>
    </w:p>
    <w:p>
      <w:pPr>
        <w:spacing w:line="560" w:lineRule="exact"/>
        <w:ind w:firstLine="641" w:firstLineChars="200"/>
        <w:rPr>
          <w:rFonts w:hint="eastAsia" w:ascii="黑体" w:hAnsi="黑体" w:eastAsia="黑体" w:cs="黑体"/>
          <w:b/>
          <w:bCs/>
          <w:sz w:val="32"/>
          <w:szCs w:val="32"/>
        </w:rPr>
      </w:pPr>
      <w:r>
        <w:rPr>
          <w:rFonts w:hint="eastAsia" w:ascii="黑体" w:hAnsi="黑体" w:eastAsia="黑体" w:cs="黑体"/>
          <w:b/>
          <w:bCs/>
          <w:sz w:val="32"/>
          <w:szCs w:val="32"/>
        </w:rPr>
        <w:t>三、单项奖学金评定原则</w:t>
      </w:r>
    </w:p>
    <w:p>
      <w:pPr>
        <w:spacing w:line="56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（一）实事求是、客观评价原则；</w:t>
      </w:r>
    </w:p>
    <w:p>
      <w:pPr>
        <w:spacing w:line="56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（二）公开、公平、公正原则；</w:t>
      </w:r>
    </w:p>
    <w:p>
      <w:pPr>
        <w:spacing w:line="56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（三）个人申请，自下而上，逐级审评原则；</w:t>
      </w:r>
    </w:p>
    <w:p>
      <w:pPr>
        <w:spacing w:line="560" w:lineRule="exact"/>
        <w:ind w:firstLine="560" w:firstLineChars="200"/>
        <w:rPr>
          <w:rFonts w:hint="eastAsia" w:ascii="仿宋" w:hAnsi="仿宋" w:eastAsia="仿宋" w:cs="仿宋"/>
          <w:color w:val="FF0000"/>
          <w:sz w:val="32"/>
          <w:szCs w:val="32"/>
        </w:rPr>
      </w:pPr>
      <w:r>
        <w:rPr>
          <w:rFonts w:hint="eastAsia" w:ascii="仿宋" w:hAnsi="仿宋" w:eastAsia="仿宋" w:cs="仿宋"/>
          <w:sz w:val="28"/>
          <w:szCs w:val="28"/>
        </w:rPr>
        <w:t>（四）坚持标准，宁缺毋滥原则。</w:t>
      </w:r>
      <w:r>
        <w:rPr>
          <w:rFonts w:hint="eastAsia" w:ascii="仿宋" w:hAnsi="仿宋" w:eastAsia="仿宋" w:cs="仿宋"/>
          <w:sz w:val="32"/>
          <w:szCs w:val="32"/>
        </w:rPr>
        <w:t xml:space="preserve"> </w:t>
      </w:r>
    </w:p>
    <w:p>
      <w:pPr>
        <w:spacing w:line="560" w:lineRule="exact"/>
        <w:ind w:firstLine="641" w:firstLineChars="200"/>
        <w:rPr>
          <w:rFonts w:hint="eastAsia" w:ascii="黑体" w:hAnsi="黑体" w:eastAsia="黑体" w:cs="黑体"/>
          <w:b/>
          <w:bCs/>
          <w:sz w:val="32"/>
          <w:szCs w:val="32"/>
        </w:rPr>
      </w:pPr>
      <w:r>
        <w:rPr>
          <w:rFonts w:hint="eastAsia" w:ascii="黑体" w:hAnsi="黑体" w:eastAsia="黑体" w:cs="黑体"/>
          <w:b/>
          <w:bCs/>
          <w:sz w:val="32"/>
          <w:szCs w:val="32"/>
        </w:rPr>
        <w:t>四、单项奖学金评定程序</w:t>
      </w:r>
    </w:p>
    <w:p>
      <w:pPr>
        <w:spacing w:line="560" w:lineRule="exact"/>
        <w:ind w:firstLine="560" w:firstLineChars="200"/>
        <w:rPr>
          <w:rFonts w:hint="eastAsia" w:ascii="楷体" w:hAnsi="楷体" w:eastAsia="楷体" w:cs="楷体"/>
          <w:b/>
          <w:bCs/>
          <w:sz w:val="28"/>
          <w:szCs w:val="28"/>
        </w:rPr>
      </w:pPr>
      <w:r>
        <w:rPr>
          <w:rFonts w:hint="eastAsia" w:ascii="楷体" w:hAnsi="楷体" w:eastAsia="楷体" w:cs="楷体"/>
          <w:bCs/>
          <w:sz w:val="28"/>
          <w:szCs w:val="28"/>
        </w:rPr>
        <w:t>（一）评定程序</w:t>
      </w:r>
    </w:p>
    <w:p>
      <w:pPr>
        <w:spacing w:line="56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1.个人以自己所获奖项和荣誉对照条件标准，向所在二级学院提出申请，附相应材料；</w:t>
      </w:r>
    </w:p>
    <w:p>
      <w:pPr>
        <w:widowControl/>
        <w:spacing w:line="560" w:lineRule="exact"/>
        <w:ind w:firstLine="560" w:firstLineChars="200"/>
        <w:jc w:val="left"/>
        <w:rPr>
          <w:rFonts w:hint="eastAsia" w:ascii="仿宋" w:hAnsi="仿宋" w:eastAsia="仿宋" w:cs="仿宋"/>
          <w:sz w:val="28"/>
          <w:szCs w:val="28"/>
        </w:rPr>
      </w:pPr>
      <w:r>
        <w:rPr>
          <w:rFonts w:hint="eastAsia" w:ascii="仿宋" w:hAnsi="仿宋" w:eastAsia="仿宋" w:cs="仿宋"/>
          <w:sz w:val="28"/>
          <w:szCs w:val="28"/>
        </w:rPr>
        <w:t>2.所在二级学院根据相关规定和要求组织资格审核、民主测评和奖学金评定；</w:t>
      </w:r>
    </w:p>
    <w:p>
      <w:pPr>
        <w:widowControl/>
        <w:spacing w:line="560" w:lineRule="exact"/>
        <w:ind w:firstLine="560" w:firstLineChars="200"/>
        <w:jc w:val="left"/>
        <w:rPr>
          <w:rFonts w:hint="eastAsia" w:ascii="仿宋" w:hAnsi="仿宋" w:eastAsia="仿宋" w:cs="仿宋"/>
          <w:sz w:val="28"/>
          <w:szCs w:val="28"/>
        </w:rPr>
      </w:pPr>
      <w:r>
        <w:rPr>
          <w:rFonts w:hint="eastAsia" w:ascii="仿宋" w:hAnsi="仿宋" w:eastAsia="仿宋" w:cs="仿宋"/>
          <w:sz w:val="28"/>
          <w:szCs w:val="28"/>
        </w:rPr>
        <w:t>3.学工处对二级学院评定材料和结果进行复核；</w:t>
      </w:r>
    </w:p>
    <w:p>
      <w:pPr>
        <w:widowControl/>
        <w:spacing w:line="560" w:lineRule="exact"/>
        <w:ind w:firstLine="560" w:firstLineChars="200"/>
        <w:jc w:val="left"/>
        <w:rPr>
          <w:rFonts w:hint="eastAsia" w:ascii="仿宋" w:hAnsi="仿宋" w:eastAsia="仿宋" w:cs="仿宋"/>
          <w:sz w:val="32"/>
          <w:szCs w:val="32"/>
        </w:rPr>
      </w:pPr>
      <w:r>
        <w:rPr>
          <w:rFonts w:hint="eastAsia" w:ascii="仿宋" w:hAnsi="仿宋" w:eastAsia="仿宋" w:cs="仿宋"/>
          <w:sz w:val="28"/>
          <w:szCs w:val="28"/>
        </w:rPr>
        <w:t>4.校奖学金评定领导小组确定最终名单和奖金标准。</w:t>
      </w:r>
    </w:p>
    <w:p>
      <w:pPr>
        <w:spacing w:line="560" w:lineRule="exact"/>
        <w:ind w:firstLine="640" w:firstLineChars="200"/>
        <w:rPr>
          <w:rFonts w:hint="eastAsia" w:ascii="仿宋" w:hAnsi="仿宋" w:eastAsia="仿宋" w:cs="仿宋"/>
          <w:color w:val="FF0000"/>
          <w:sz w:val="32"/>
          <w:szCs w:val="32"/>
        </w:rPr>
      </w:pPr>
      <w:r>
        <w:rPr>
          <w:rFonts w:hint="eastAsia" w:ascii="楷体" w:hAnsi="楷体" w:eastAsia="楷体" w:cs="楷体"/>
          <w:bCs/>
          <w:sz w:val="32"/>
          <w:szCs w:val="32"/>
        </w:rPr>
        <w:t>（二）评定时间</w:t>
      </w:r>
      <w:r>
        <w:rPr>
          <w:rFonts w:hint="eastAsia" w:ascii="仿宋" w:hAnsi="仿宋" w:eastAsia="仿宋" w:cs="仿宋"/>
          <w:bCs/>
          <w:sz w:val="32"/>
          <w:szCs w:val="32"/>
        </w:rPr>
        <w:t xml:space="preserve">  </w:t>
      </w:r>
      <w:r>
        <w:rPr>
          <w:rFonts w:hint="eastAsia" w:ascii="仿宋" w:hAnsi="仿宋" w:eastAsia="仿宋" w:cs="仿宋"/>
          <w:b/>
          <w:sz w:val="32"/>
          <w:szCs w:val="32"/>
        </w:rPr>
        <w:t xml:space="preserve">  </w:t>
      </w:r>
    </w:p>
    <w:p>
      <w:pPr>
        <w:spacing w:line="560" w:lineRule="exact"/>
        <w:ind w:firstLine="560" w:firstLineChars="200"/>
        <w:rPr>
          <w:rFonts w:hint="eastAsia" w:ascii="仿宋" w:hAnsi="仿宋" w:eastAsia="仿宋" w:cs="仿宋"/>
          <w:sz w:val="32"/>
          <w:szCs w:val="32"/>
        </w:rPr>
      </w:pPr>
      <w:r>
        <w:rPr>
          <w:rFonts w:hint="eastAsia" w:ascii="仿宋" w:hAnsi="仿宋" w:eastAsia="仿宋" w:cs="仿宋"/>
          <w:sz w:val="28"/>
          <w:szCs w:val="28"/>
        </w:rPr>
        <w:t>学生根据上学年两个学期学习成绩对照奖学金评选办法，提出申请；各班根据学业奖学金评选办法对本班奖学金的申请进行民主评议，报二级学院奖学金评选小组审查；二级学院奖学金评选领导小组对班级上报材料进行审核并在召开党政联席会讨论（留存好会议记录备查），并对评选结果进行 5 个工作日的公示，同期报送学生工作处汇总纸质材料、电子材料同时报送，纸质材料需学院奖学金评选小组领导签字并加盖公章上报；学生工作处将汇总结果报学校奖学金评定领导小组审批。</w:t>
      </w:r>
    </w:p>
    <w:p>
      <w:pPr>
        <w:spacing w:line="560" w:lineRule="exact"/>
        <w:ind w:firstLine="640" w:firstLineChars="200"/>
        <w:rPr>
          <w:rFonts w:hint="eastAsia" w:ascii="楷体" w:hAnsi="楷体" w:eastAsia="楷体" w:cs="楷体"/>
          <w:bCs/>
          <w:sz w:val="32"/>
          <w:szCs w:val="32"/>
        </w:rPr>
      </w:pPr>
      <w:r>
        <w:rPr>
          <w:rFonts w:hint="eastAsia" w:ascii="楷体" w:hAnsi="楷体" w:eastAsia="楷体" w:cs="楷体"/>
          <w:bCs/>
          <w:sz w:val="32"/>
          <w:szCs w:val="32"/>
        </w:rPr>
        <w:t>（三）奖励金额</w:t>
      </w:r>
    </w:p>
    <w:p>
      <w:pPr>
        <w:spacing w:line="560" w:lineRule="exact"/>
        <w:ind w:firstLine="560" w:firstLineChars="200"/>
        <w:rPr>
          <w:rFonts w:hint="eastAsia" w:ascii="仿宋" w:hAnsi="仿宋" w:eastAsia="仿宋" w:cs="仿宋"/>
          <w:sz w:val="32"/>
          <w:szCs w:val="32"/>
        </w:rPr>
      </w:pPr>
      <w:r>
        <w:rPr>
          <w:rFonts w:hint="eastAsia" w:ascii="仿宋" w:hAnsi="仿宋" w:eastAsia="仿宋" w:cs="仿宋"/>
          <w:sz w:val="28"/>
          <w:szCs w:val="28"/>
        </w:rPr>
        <w:t>奖励标准按照参评人数和经费盘子酌定，原则上市厅级：200-500元；省部级：500-800元；国家级：800-2000元。学生干部参照省部级标准发放。</w:t>
      </w:r>
    </w:p>
    <w:p>
      <w:pPr>
        <w:spacing w:line="560" w:lineRule="exact"/>
        <w:ind w:firstLine="640" w:firstLineChars="200"/>
        <w:rPr>
          <w:rFonts w:hint="eastAsia" w:ascii="楷体" w:hAnsi="楷体" w:eastAsia="楷体" w:cs="楷体"/>
          <w:sz w:val="32"/>
          <w:szCs w:val="32"/>
        </w:rPr>
      </w:pPr>
      <w:r>
        <w:rPr>
          <w:rFonts w:hint="eastAsia" w:ascii="楷体" w:hAnsi="楷体" w:eastAsia="楷体" w:cs="楷体"/>
          <w:sz w:val="32"/>
          <w:szCs w:val="32"/>
        </w:rPr>
        <w:t>（四）有下列情况之一者不得参加奖学金的评选：</w:t>
      </w:r>
    </w:p>
    <w:p>
      <w:pPr>
        <w:spacing w:line="56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1.受到处分未撤销者。</w:t>
      </w:r>
    </w:p>
    <w:p>
      <w:pPr>
        <w:spacing w:line="56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2.所评学年内有课程缓考者。</w:t>
      </w:r>
    </w:p>
    <w:p>
      <w:pPr>
        <w:spacing w:line="56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3.延长学制在重复学习期间者。</w:t>
      </w:r>
    </w:p>
    <w:p>
      <w:pPr>
        <w:spacing w:line="56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4.考核课程有不及格者。</w:t>
      </w:r>
    </w:p>
    <w:p>
      <w:pPr>
        <w:spacing w:line="56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5.按规定未修满规定学分者。</w:t>
      </w:r>
    </w:p>
    <w:p>
      <w:pPr>
        <w:spacing w:line="560" w:lineRule="exact"/>
        <w:ind w:firstLine="560" w:firstLineChars="200"/>
        <w:rPr>
          <w:rFonts w:hint="eastAsia" w:ascii="仿宋" w:hAnsi="仿宋" w:eastAsia="仿宋" w:cs="仿宋"/>
          <w:sz w:val="32"/>
          <w:szCs w:val="32"/>
        </w:rPr>
      </w:pPr>
      <w:r>
        <w:rPr>
          <w:rFonts w:hint="eastAsia" w:ascii="仿宋" w:hAnsi="仿宋" w:eastAsia="仿宋" w:cs="仿宋"/>
          <w:sz w:val="28"/>
          <w:szCs w:val="28"/>
        </w:rPr>
        <w:t>6.无故拖欠学费者。</w:t>
      </w:r>
    </w:p>
    <w:p>
      <w:pPr>
        <w:spacing w:line="560" w:lineRule="exact"/>
        <w:ind w:firstLine="641" w:firstLineChars="200"/>
        <w:rPr>
          <w:rFonts w:hint="eastAsia" w:ascii="黑体" w:hAnsi="黑体" w:eastAsia="黑体" w:cs="黑体"/>
          <w:b/>
          <w:bCs/>
          <w:sz w:val="32"/>
          <w:szCs w:val="32"/>
        </w:rPr>
      </w:pPr>
      <w:r>
        <w:rPr>
          <w:rFonts w:hint="eastAsia" w:ascii="黑体" w:hAnsi="黑体" w:eastAsia="黑体" w:cs="黑体"/>
          <w:b/>
          <w:bCs/>
          <w:sz w:val="32"/>
          <w:szCs w:val="32"/>
        </w:rPr>
        <w:t>五、单项奖学金评定的组织领导</w:t>
      </w:r>
    </w:p>
    <w:p>
      <w:pPr>
        <w:spacing w:line="56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（一）建立班、二级学院、校三级奖学金评定小组，负责各类奖学金评定工作。</w:t>
      </w:r>
    </w:p>
    <w:p>
      <w:pPr>
        <w:spacing w:line="560" w:lineRule="exact"/>
        <w:ind w:firstLine="560" w:firstLineChars="200"/>
        <w:rPr>
          <w:rFonts w:hint="eastAsia" w:ascii="仿宋" w:hAnsi="仿宋" w:eastAsia="仿宋" w:cs="仿宋"/>
          <w:sz w:val="32"/>
          <w:szCs w:val="32"/>
        </w:rPr>
      </w:pPr>
      <w:r>
        <w:rPr>
          <w:rFonts w:hint="eastAsia" w:ascii="仿宋" w:hAnsi="仿宋" w:eastAsia="仿宋" w:cs="仿宋"/>
          <w:sz w:val="28"/>
          <w:szCs w:val="28"/>
        </w:rPr>
        <w:t>（二）各级奖学金评定小组的人员原则上由不少于7人组成，班级奖学金评定小组原则上由班主任和班委会成员组成；二级学院奖学金评定小组由负责学生工作的党总支副书记、辅导员和教师、学生代表组成；学校奖学金评定小组由分管校领导、学工处、教务处、团委及二级学院负责人等组成。</w:t>
      </w:r>
    </w:p>
    <w:p>
      <w:pPr>
        <w:widowControl/>
        <w:numPr>
          <w:ilvl w:val="0"/>
          <w:numId w:val="0"/>
        </w:numPr>
        <w:shd w:val="clear" w:color="auto" w:fill="FFFFFF"/>
        <w:jc w:val="both"/>
        <w:rPr>
          <w:rFonts w:hint="default" w:eastAsia="仿宋_GB2312"/>
          <w:sz w:val="32"/>
          <w:szCs w:val="32"/>
          <w:lang w:val="en-US" w:eastAsia="zh-CN"/>
        </w:rPr>
      </w:pPr>
    </w:p>
    <w:p>
      <w:pPr>
        <w:widowControl/>
        <w:numPr>
          <w:ilvl w:val="0"/>
          <w:numId w:val="0"/>
        </w:numPr>
        <w:shd w:val="clear" w:color="auto" w:fill="FFFFFF"/>
        <w:ind w:leftChars="0" w:firstLine="640" w:firstLineChars="200"/>
        <w:jc w:val="both"/>
        <w:rPr>
          <w:rFonts w:hint="default" w:eastAsia="仿宋_GB2312"/>
          <w:sz w:val="32"/>
          <w:szCs w:val="32"/>
          <w:lang w:val="en-US" w:eastAsia="zh-CN"/>
        </w:rPr>
      </w:pPr>
    </w:p>
    <w:p>
      <w:pPr>
        <w:widowControl/>
        <w:numPr>
          <w:ilvl w:val="0"/>
          <w:numId w:val="0"/>
        </w:numPr>
        <w:shd w:val="clear" w:color="auto" w:fill="FFFFFF"/>
        <w:ind w:leftChars="0" w:firstLine="640" w:firstLineChars="200"/>
        <w:jc w:val="both"/>
        <w:rPr>
          <w:rFonts w:hint="default" w:eastAsia="仿宋_GB2312"/>
          <w:sz w:val="32"/>
          <w:szCs w:val="32"/>
          <w:lang w:val="en-US" w:eastAsia="zh-CN"/>
        </w:rPr>
      </w:pPr>
    </w:p>
    <w:p>
      <w:pPr>
        <w:widowControl/>
        <w:numPr>
          <w:ilvl w:val="0"/>
          <w:numId w:val="0"/>
        </w:numPr>
        <w:shd w:val="clear" w:color="auto" w:fill="FFFFFF"/>
        <w:ind w:leftChars="0" w:firstLine="640" w:firstLineChars="200"/>
        <w:jc w:val="both"/>
        <w:rPr>
          <w:rFonts w:hint="default" w:eastAsia="仿宋_GB2312"/>
          <w:sz w:val="32"/>
          <w:szCs w:val="32"/>
          <w:lang w:val="en-US" w:eastAsia="zh-CN"/>
        </w:rPr>
      </w:pPr>
    </w:p>
    <w:p>
      <w:pPr>
        <w:widowControl/>
        <w:numPr>
          <w:ilvl w:val="0"/>
          <w:numId w:val="0"/>
        </w:numPr>
        <w:shd w:val="clear" w:color="auto" w:fill="FFFFFF"/>
        <w:ind w:leftChars="0" w:firstLine="640" w:firstLineChars="200"/>
        <w:jc w:val="both"/>
        <w:rPr>
          <w:rFonts w:hint="default" w:eastAsia="仿宋_GB2312"/>
          <w:sz w:val="32"/>
          <w:szCs w:val="32"/>
          <w:lang w:val="en-US" w:eastAsia="zh-CN"/>
        </w:rPr>
      </w:pPr>
    </w:p>
    <w:p>
      <w:pPr>
        <w:widowControl/>
        <w:numPr>
          <w:ilvl w:val="0"/>
          <w:numId w:val="0"/>
        </w:numPr>
        <w:shd w:val="clear" w:color="auto" w:fill="FFFFFF"/>
        <w:ind w:leftChars="0" w:firstLine="640" w:firstLineChars="200"/>
        <w:jc w:val="both"/>
        <w:rPr>
          <w:rFonts w:hint="default" w:eastAsia="仿宋_GB2312"/>
          <w:sz w:val="32"/>
          <w:szCs w:val="32"/>
          <w:lang w:val="en-US" w:eastAsia="zh-CN"/>
        </w:rPr>
      </w:pPr>
    </w:p>
    <w:p>
      <w:pPr>
        <w:widowControl/>
        <w:numPr>
          <w:ilvl w:val="0"/>
          <w:numId w:val="0"/>
        </w:numPr>
        <w:shd w:val="clear" w:color="auto" w:fill="FFFFFF"/>
        <w:ind w:leftChars="0" w:firstLine="640" w:firstLineChars="200"/>
        <w:jc w:val="both"/>
        <w:rPr>
          <w:rFonts w:hint="default" w:eastAsia="仿宋_GB2312"/>
          <w:sz w:val="32"/>
          <w:szCs w:val="32"/>
          <w:lang w:val="en-US" w:eastAsia="zh-CN"/>
        </w:rPr>
      </w:pPr>
    </w:p>
    <w:p>
      <w:pPr>
        <w:widowControl/>
        <w:numPr>
          <w:ilvl w:val="0"/>
          <w:numId w:val="0"/>
        </w:numPr>
        <w:shd w:val="clear" w:color="auto" w:fill="FFFFFF"/>
        <w:ind w:leftChars="0" w:firstLine="640" w:firstLineChars="200"/>
        <w:jc w:val="both"/>
        <w:rPr>
          <w:rFonts w:hint="default" w:eastAsia="仿宋_GB2312"/>
          <w:sz w:val="32"/>
          <w:szCs w:val="32"/>
          <w:lang w:val="en-US" w:eastAsia="zh-CN"/>
        </w:rPr>
      </w:pPr>
    </w:p>
    <w:p>
      <w:pPr>
        <w:widowControl/>
        <w:numPr>
          <w:ilvl w:val="0"/>
          <w:numId w:val="0"/>
        </w:numPr>
        <w:shd w:val="clear" w:color="auto" w:fill="FFFFFF"/>
        <w:ind w:leftChars="0" w:firstLine="640" w:firstLineChars="200"/>
        <w:jc w:val="both"/>
        <w:rPr>
          <w:rFonts w:hint="default" w:eastAsia="仿宋_GB2312"/>
          <w:sz w:val="32"/>
          <w:szCs w:val="32"/>
          <w:lang w:val="en-US" w:eastAsia="zh-CN"/>
        </w:rPr>
      </w:pPr>
    </w:p>
    <w:p>
      <w:pPr>
        <w:widowControl/>
        <w:numPr>
          <w:ilvl w:val="0"/>
          <w:numId w:val="0"/>
        </w:numPr>
        <w:shd w:val="clear" w:color="auto" w:fill="FFFFFF"/>
        <w:ind w:leftChars="0" w:firstLine="640" w:firstLineChars="200"/>
        <w:jc w:val="both"/>
        <w:rPr>
          <w:rFonts w:hint="default" w:eastAsia="仿宋_GB2312"/>
          <w:sz w:val="32"/>
          <w:szCs w:val="32"/>
          <w:lang w:val="en-US" w:eastAsia="zh-CN"/>
        </w:rPr>
      </w:pPr>
    </w:p>
    <w:p>
      <w:pPr>
        <w:widowControl/>
        <w:numPr>
          <w:ilvl w:val="0"/>
          <w:numId w:val="0"/>
        </w:numPr>
        <w:shd w:val="clear" w:color="auto" w:fill="FFFFFF"/>
        <w:ind w:leftChars="0" w:firstLine="640" w:firstLineChars="200"/>
        <w:jc w:val="both"/>
        <w:rPr>
          <w:rFonts w:hint="default" w:eastAsia="仿宋_GB2312"/>
          <w:sz w:val="32"/>
          <w:szCs w:val="32"/>
          <w:lang w:val="en-US" w:eastAsia="zh-CN"/>
        </w:rPr>
      </w:pPr>
    </w:p>
    <w:p>
      <w:pPr>
        <w:widowControl/>
        <w:numPr>
          <w:ilvl w:val="0"/>
          <w:numId w:val="0"/>
        </w:numPr>
        <w:shd w:val="clear" w:color="auto" w:fill="FFFFFF"/>
        <w:ind w:leftChars="0" w:firstLine="640" w:firstLineChars="200"/>
        <w:jc w:val="both"/>
        <w:rPr>
          <w:rFonts w:hint="default" w:eastAsia="仿宋_GB2312"/>
          <w:sz w:val="32"/>
          <w:szCs w:val="32"/>
          <w:lang w:val="en-US" w:eastAsia="zh-CN"/>
        </w:rPr>
      </w:pPr>
    </w:p>
    <w:p>
      <w:pPr>
        <w:widowControl/>
        <w:numPr>
          <w:ilvl w:val="0"/>
          <w:numId w:val="0"/>
        </w:numPr>
        <w:shd w:val="clear" w:color="auto" w:fill="FFFFFF"/>
        <w:ind w:leftChars="0" w:firstLine="640" w:firstLineChars="200"/>
        <w:jc w:val="both"/>
        <w:rPr>
          <w:rFonts w:hint="default" w:eastAsia="仿宋_GB2312"/>
          <w:sz w:val="32"/>
          <w:szCs w:val="32"/>
          <w:lang w:val="en-US" w:eastAsia="zh-CN"/>
        </w:rPr>
      </w:pP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00"/>
    <w:family w:val="auto"/>
    <w:pitch w:val="default"/>
    <w:sig w:usb0="00000000" w:usb1="00000000" w:usb2="00000000" w:usb3="00000000" w:csb0="00000000" w:csb1="00000000"/>
  </w:font>
  <w:font w:name="DejaVu Sans">
    <w:altName w:val="苹方-简"/>
    <w:panose1 w:val="02020603050405020304"/>
    <w:charset w:val="00"/>
    <w:family w:val="roman"/>
    <w:pitch w:val="default"/>
    <w:sig w:usb0="20007A87" w:usb1="80000000" w:usb2="00000008" w:usb3="00000000" w:csb0="000001FF" w:csb1="00000000"/>
  </w:font>
  <w:font w:name="方正书宋_GBK">
    <w:panose1 w:val="02000000000000000000"/>
    <w:charset w:val="86"/>
    <w:family w:val="auto"/>
    <w:pitch w:val="default"/>
    <w:sig w:usb0="A00002BF" w:usb1="38CF7CFA" w:usb2="00082016" w:usb3="00000000" w:csb0="00040001" w:csb1="00000000"/>
  </w:font>
  <w:font w:name="方正黑体_GBK">
    <w:altName w:val="苹方-简"/>
    <w:panose1 w:val="02000000000000000000"/>
    <w:charset w:val="00"/>
    <w:family w:val="auto"/>
    <w:pitch w:val="default"/>
    <w:sig w:usb0="00000001" w:usb1="08000000" w:usb2="00000000" w:usb3="00000000" w:csb0="00040000" w:csb1="00000000"/>
  </w:font>
  <w:font w:name="Cambria">
    <w:altName w:val="苹方-简"/>
    <w:panose1 w:val="02040503050406030204"/>
    <w:charset w:val="00"/>
    <w:family w:val="roman"/>
    <w:pitch w:val="default"/>
    <w:sig w:usb0="00000000" w:usb1="00000000" w:usb2="00000000" w:usb3="00000000" w:csb0="0000019F" w:csb1="00000000"/>
  </w:font>
  <w:font w:name="Calibri">
    <w:altName w:val="Helvetica Neue"/>
    <w:panose1 w:val="020F0502020204030204"/>
    <w:charset w:val="00"/>
    <w:family w:val="swiss"/>
    <w:pitch w:val="default"/>
    <w:sig w:usb0="00000000" w:usb1="00000000" w:usb2="00000001" w:usb3="00000000" w:csb0="0000019F" w:csb1="00000000"/>
  </w:font>
  <w:font w:name="汉仪书宋二KW">
    <w:panose1 w:val="00020600040101010101"/>
    <w:charset w:val="86"/>
    <w:family w:val="auto"/>
    <w:pitch w:val="default"/>
    <w:sig w:usb0="A00002BF" w:usb1="18EF7CFA" w:usb2="00000016" w:usb3="00000000" w:csb0="00040000" w:csb1="00000000"/>
  </w:font>
  <w:font w:name="苹方-简">
    <w:panose1 w:val="020B0400000000000000"/>
    <w:charset w:val="86"/>
    <w:family w:val="auto"/>
    <w:pitch w:val="default"/>
    <w:sig w:usb0="A00002FF" w:usb1="7ACFFDFB" w:usb2="00000017" w:usb3="00000000" w:csb0="00040001" w:csb1="00000000"/>
  </w:font>
  <w:font w:name="Helvetica Neue">
    <w:panose1 w:val="02000503000000020004"/>
    <w:charset w:val="00"/>
    <w:family w:val="auto"/>
    <w:pitch w:val="default"/>
    <w:sig w:usb0="E50002FF" w:usb1="500079DB" w:usb2="00000010" w:usb3="00000000" w:csb0="00000000" w:csb1="00000000"/>
  </w:font>
  <w:font w:name="Wingdings">
    <w:panose1 w:val="05000000000000000000"/>
    <w:charset w:val="02"/>
    <w:family w:val="auto"/>
    <w:pitch w:val="default"/>
    <w:sig w:usb0="00000000" w:usb1="00000000" w:usb2="00000000" w:usb3="00000000" w:csb0="80000000" w:csb1="00000000"/>
  </w:font>
  <w:font w:name="Arial">
    <w:panose1 w:val="020B0604020202090204"/>
    <w:charset w:val="01"/>
    <w:family w:val="swiss"/>
    <w:pitch w:val="default"/>
    <w:sig w:usb0="E0000AFF" w:usb1="00007843" w:usb2="00000001" w:usb3="00000000" w:csb0="400001BF" w:csb1="DFF70000"/>
  </w:font>
  <w:font w:name="黑体">
    <w:altName w:val="汉仪中黑KW"/>
    <w:panose1 w:val="02010609060101010101"/>
    <w:charset w:val="86"/>
    <w:family w:val="auto"/>
    <w:pitch w:val="default"/>
    <w:sig w:usb0="00000000" w:usb1="00000000" w:usb2="00000016" w:usb3="00000000" w:csb0="00040001" w:csb1="00000000"/>
  </w:font>
  <w:font w:name="Courier New">
    <w:panose1 w:val="02070609020205090404"/>
    <w:charset w:val="01"/>
    <w:family w:val="modern"/>
    <w:pitch w:val="default"/>
    <w:sig w:usb0="E0000AFF" w:usb1="40007843" w:usb2="00000001" w:usb3="00000000" w:csb0="400001BF" w:csb1="DFF70000"/>
  </w:font>
  <w:font w:name="Symbol">
    <w:altName w:val="Kingsoft Sign"/>
    <w:panose1 w:val="05050102010706020507"/>
    <w:charset w:val="02"/>
    <w:family w:val="roman"/>
    <w:pitch w:val="default"/>
    <w:sig w:usb0="00000000" w:usb1="00000000" w:usb2="00000000" w:usb3="00000000" w:csb0="80000000" w:csb1="00000000"/>
  </w:font>
  <w:font w:name="仿宋">
    <w:altName w:val="方正仿宋_GBK"/>
    <w:panose1 w:val="02010609060101010101"/>
    <w:charset w:val="86"/>
    <w:family w:val="auto"/>
    <w:pitch w:val="default"/>
    <w:sig w:usb0="00000000" w:usb1="00000000" w:usb2="00000016" w:usb3="00000000" w:csb0="00040001" w:csb1="00000000"/>
  </w:font>
  <w:font w:name="仿宋_GB2312">
    <w:altName w:val="方正仿宋_GBK"/>
    <w:panose1 w:val="00000000000000000000"/>
    <w:charset w:val="86"/>
    <w:family w:val="modern"/>
    <w:pitch w:val="default"/>
    <w:sig w:usb0="00000000" w:usb1="00000000" w:usb2="00000010" w:usb3="00000000" w:csb0="00040000" w:csb1="00000000"/>
  </w:font>
  <w:font w:name="楷体">
    <w:altName w:val="汉仪楷体KW"/>
    <w:panose1 w:val="02010609060101010101"/>
    <w:charset w:val="86"/>
    <w:family w:val="auto"/>
    <w:pitch w:val="default"/>
    <w:sig w:usb0="00000000" w:usb1="00000000" w:usb2="00000016" w:usb3="00000000" w:csb0="00040001" w:csb1="00000000"/>
  </w:font>
  <w:font w:name="Wingdings 2">
    <w:panose1 w:val="05020102010507070707"/>
    <w:charset w:val="00"/>
    <w:family w:val="auto"/>
    <w:pitch w:val="default"/>
    <w:sig w:usb0="00000000" w:usb1="00000000" w:usb2="00000000" w:usb3="00000000" w:csb0="80000000" w:csb1="00000000"/>
  </w:font>
  <w:font w:name="方正仿宋_GBK">
    <w:panose1 w:val="02000000000000000000"/>
    <w:charset w:val="86"/>
    <w:family w:val="auto"/>
    <w:pitch w:val="default"/>
    <w:sig w:usb0="A00002BF" w:usb1="38CF7CFA" w:usb2="00082016" w:usb3="00000000" w:csb0="00040001" w:csb1="00000000"/>
  </w:font>
  <w:font w:name="汉仪中黑KW">
    <w:panose1 w:val="00020600040101010101"/>
    <w:charset w:val="86"/>
    <w:family w:val="auto"/>
    <w:pitch w:val="default"/>
    <w:sig w:usb0="A00002BF" w:usb1="18EF7CFA" w:usb2="00000016" w:usb3="00000000" w:csb0="00040000" w:csb1="00000000"/>
  </w:font>
  <w:font w:name="汉仪楷体KW">
    <w:panose1 w:val="00020600040101010101"/>
    <w:charset w:val="86"/>
    <w:family w:val="auto"/>
    <w:pitch w:val="default"/>
    <w:sig w:usb0="A00002BF" w:usb1="18EF7CFA" w:usb2="00000016" w:usb3="00000000" w:csb0="00040000" w:csb1="00000000"/>
  </w:font>
  <w:font w:name="PingFangHK">
    <w:altName w:val="苹方-简"/>
    <w:panose1 w:val="00000000000000000000"/>
    <w:charset w:val="00"/>
    <w:family w:val="auto"/>
    <w:pitch w:val="default"/>
    <w:sig w:usb0="00000000" w:usb1="00000000" w:usb2="00000000" w:usb3="00000000" w:csb0="00000000" w:csb1="00000000"/>
  </w:font>
  <w:font w:name="Tahoma">
    <w:panose1 w:val="020B0804030504040204"/>
    <w:charset w:val="00"/>
    <w:family w:val="auto"/>
    <w:pitch w:val="default"/>
    <w:sig w:usb0="E1002AFF" w:usb1="C000605B" w:usb2="00000029" w:usb3="00000000" w:csb0="200101FF" w:csb1="20280000"/>
  </w:font>
  <w:font w:name="Kingsoft Sign">
    <w:panose1 w:val="05050102010706020507"/>
    <w:charset w:val="00"/>
    <w:family w:val="auto"/>
    <w:pitch w:val="default"/>
    <w:sig w:usb0="00000000" w:usb1="10000000" w:usb2="00000000" w:usb3="00000000" w:csb0="00000001" w:csb1="00000000"/>
  </w:font>
  <w:font w:name="仿宋">
    <w:altName w:val="方正仿宋_GBK"/>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jc w:val="center"/>
    </w:pPr>
    <w:r>
      <w:fldChar w:fldCharType="begin"/>
    </w:r>
    <w:r>
      <w:instrText xml:space="preserve">PAGE   \* MERGEFORMAT</w:instrText>
    </w:r>
    <w:r>
      <w:fldChar w:fldCharType="separate"/>
    </w:r>
    <w:r>
      <w:rPr>
        <w:lang w:val="zh-CN"/>
      </w:rPr>
      <w:t>1</w:t>
    </w:r>
    <w:r>
      <w:fldChar w:fldCharType="end"/>
    </w:r>
  </w:p>
  <w:p>
    <w:pPr>
      <w:pStyle w:val="2"/>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9A4D770"/>
    <w:multiLevelType w:val="singleLevel"/>
    <w:tmpl w:val="59A4D770"/>
    <w:lvl w:ilvl="0" w:tentative="0">
      <w:start w:val="1"/>
      <w:numFmt w:val="chineseCounting"/>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DFFC4C8"/>
    <w:rsid w:val="3DFFC4C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